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54" w:rsidRPr="0013749C" w:rsidRDefault="00E569C6" w:rsidP="0013749C">
      <w:pPr>
        <w:spacing w:after="0"/>
        <w:jc w:val="center"/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</w:pPr>
      <w:r w:rsidRPr="0013749C"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  <w:t xml:space="preserve">In Search of Greater </w:t>
      </w:r>
      <w:r w:rsidR="0013749C"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  <w:br/>
      </w:r>
      <w:r w:rsidRPr="0013749C"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  <w:t xml:space="preserve">Retirement Security: </w:t>
      </w:r>
      <w:bookmarkStart w:id="0" w:name="_GoBack"/>
      <w:bookmarkEnd w:id="0"/>
      <w:r w:rsidRPr="0013749C"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  <w:br/>
        <w:t>The Composite Plan Design</w:t>
      </w:r>
      <w:r w:rsidR="00DC570F">
        <w:rPr>
          <w:rFonts w:ascii="Copperplate Gothic Bold" w:hAnsi="Copperplate Gothic Bold"/>
          <w:b/>
          <w:bCs/>
          <w:i/>
          <w:iCs/>
          <w:color w:val="C00000"/>
          <w:sz w:val="56"/>
          <w:szCs w:val="56"/>
        </w:rPr>
        <w:t xml:space="preserve">         </w:t>
      </w:r>
      <w:r w:rsidR="00DC570F" w:rsidRPr="00DC570F">
        <w:rPr>
          <w:rFonts w:ascii="Copperplate Gothic Bold" w:hAnsi="Copperplate Gothic Bold"/>
          <w:bCs/>
          <w:iCs/>
          <w:sz w:val="24"/>
          <w:szCs w:val="24"/>
        </w:rPr>
        <w:t>(Building Trades Leave-Behind)</w:t>
      </w:r>
      <w:r w:rsidR="00DC570F" w:rsidRPr="00DC570F">
        <w:rPr>
          <w:rFonts w:ascii="Copperplate Gothic Bold" w:hAnsi="Copperplate Gothic Bold"/>
          <w:b/>
          <w:bCs/>
          <w:i/>
          <w:iCs/>
          <w:sz w:val="56"/>
          <w:szCs w:val="56"/>
        </w:rPr>
        <w:t xml:space="preserve"> </w:t>
      </w:r>
    </w:p>
    <w:p w:rsidR="007F2C8B" w:rsidRPr="00114241" w:rsidRDefault="007F2C8B" w:rsidP="0013749C">
      <w:pPr>
        <w:pStyle w:val="ListParagraph"/>
        <w:numPr>
          <w:ilvl w:val="0"/>
          <w:numId w:val="1"/>
        </w:numPr>
        <w:spacing w:before="60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Intended to be a better alternative to the current defined contribution system for situations in which an employer is committed to lea</w:t>
      </w:r>
      <w:r w:rsidR="0013749C">
        <w:rPr>
          <w:rFonts w:ascii="Times New Roman" w:hAnsi="Times New Roman" w:cs="Times New Roman"/>
          <w:sz w:val="32"/>
          <w:szCs w:val="44"/>
        </w:rPr>
        <w:t>ving the defined benefit system</w:t>
      </w:r>
      <w:r w:rsidRPr="00114241">
        <w:rPr>
          <w:rFonts w:ascii="Times New Roman" w:hAnsi="Times New Roman" w:cs="Times New Roman"/>
          <w:sz w:val="32"/>
          <w:szCs w:val="44"/>
        </w:rPr>
        <w:t xml:space="preserve"> </w:t>
      </w:r>
    </w:p>
    <w:p w:rsidR="00E569C6" w:rsidRPr="00114241" w:rsidRDefault="007F2C8B" w:rsidP="0013749C">
      <w:pPr>
        <w:pStyle w:val="ListParagraph"/>
        <w:numPr>
          <w:ilvl w:val="1"/>
          <w:numId w:val="1"/>
        </w:numPr>
        <w:spacing w:before="120" w:after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Longevity risk is pooled</w:t>
      </w:r>
    </w:p>
    <w:p w:rsidR="007F2C8B" w:rsidRPr="00114241" w:rsidRDefault="007F2C8B" w:rsidP="0013749C">
      <w:pPr>
        <w:pStyle w:val="ListParagraph"/>
        <w:numPr>
          <w:ilvl w:val="1"/>
          <w:numId w:val="1"/>
        </w:numPr>
        <w:spacing w:before="120" w:after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Benefits are paid as annuities – no leakage</w:t>
      </w:r>
    </w:p>
    <w:p w:rsidR="007F2C8B" w:rsidRPr="004D3AB3" w:rsidRDefault="004D3AB3" w:rsidP="003730FF">
      <w:pPr>
        <w:pStyle w:val="ListParagraph"/>
        <w:numPr>
          <w:ilvl w:val="1"/>
          <w:numId w:val="1"/>
        </w:numPr>
        <w:spacing w:before="120" w:after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 w:rsidRPr="004D3AB3">
        <w:rPr>
          <w:rFonts w:ascii="Times New Roman" w:hAnsi="Times New Roman" w:cs="Times New Roman"/>
          <w:sz w:val="32"/>
          <w:szCs w:val="44"/>
        </w:rPr>
        <w:t xml:space="preserve">Assets are pooled – </w:t>
      </w:r>
      <w:r w:rsidR="001D2E99">
        <w:rPr>
          <w:rFonts w:ascii="Times New Roman" w:hAnsi="Times New Roman" w:cs="Times New Roman"/>
          <w:sz w:val="32"/>
          <w:szCs w:val="44"/>
        </w:rPr>
        <w:t>allows for</w:t>
      </w:r>
      <w:r w:rsidRPr="004D3AB3">
        <w:rPr>
          <w:rFonts w:ascii="Times New Roman" w:hAnsi="Times New Roman" w:cs="Times New Roman"/>
          <w:sz w:val="32"/>
          <w:szCs w:val="44"/>
        </w:rPr>
        <w:t xml:space="preserve"> r</w:t>
      </w:r>
      <w:r w:rsidR="007F2C8B" w:rsidRPr="004D3AB3">
        <w:rPr>
          <w:rFonts w:ascii="Times New Roman" w:hAnsi="Times New Roman" w:cs="Times New Roman"/>
          <w:sz w:val="32"/>
          <w:szCs w:val="44"/>
        </w:rPr>
        <w:t>educed investment fees</w:t>
      </w:r>
      <w:r w:rsidRPr="004D3AB3">
        <w:rPr>
          <w:rFonts w:ascii="Times New Roman" w:hAnsi="Times New Roman" w:cs="Times New Roman"/>
          <w:sz w:val="32"/>
          <w:szCs w:val="44"/>
        </w:rPr>
        <w:t xml:space="preserve">, </w:t>
      </w:r>
      <w:r>
        <w:rPr>
          <w:rFonts w:ascii="Times New Roman" w:hAnsi="Times New Roman" w:cs="Times New Roman"/>
          <w:sz w:val="32"/>
          <w:szCs w:val="44"/>
        </w:rPr>
        <w:t>greater a</w:t>
      </w:r>
      <w:r w:rsidR="007F2C8B" w:rsidRPr="004D3AB3">
        <w:rPr>
          <w:rFonts w:ascii="Times New Roman" w:hAnsi="Times New Roman" w:cs="Times New Roman"/>
          <w:sz w:val="32"/>
          <w:szCs w:val="44"/>
        </w:rPr>
        <w:t>sset diversification and professional investment management</w:t>
      </w:r>
    </w:p>
    <w:p w:rsidR="007F2C8B" w:rsidRPr="00114241" w:rsidRDefault="007F2C8B" w:rsidP="00114241">
      <w:pPr>
        <w:pStyle w:val="ListParagraph"/>
        <w:numPr>
          <w:ilvl w:val="0"/>
          <w:numId w:val="1"/>
        </w:numPr>
        <w:spacing w:before="160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As in defined contribution plans, investment risk is shifted to participants BUT</w:t>
      </w:r>
      <w:r w:rsidR="00114241">
        <w:rPr>
          <w:rFonts w:ascii="Times New Roman" w:hAnsi="Times New Roman" w:cs="Times New Roman"/>
          <w:sz w:val="32"/>
          <w:szCs w:val="44"/>
        </w:rPr>
        <w:t>:</w:t>
      </w:r>
    </w:p>
    <w:p w:rsidR="007F2C8B" w:rsidRPr="00114241" w:rsidRDefault="007F2C8B" w:rsidP="0013749C">
      <w:pPr>
        <w:pStyle w:val="ListParagraph"/>
        <w:numPr>
          <w:ilvl w:val="1"/>
          <w:numId w:val="1"/>
        </w:numPr>
        <w:spacing w:before="120" w:after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Funding at 120% is required to buffer against market volatility</w:t>
      </w:r>
    </w:p>
    <w:p w:rsidR="007C6314" w:rsidRPr="0013749C" w:rsidRDefault="007F2C8B" w:rsidP="0013749C">
      <w:pPr>
        <w:pStyle w:val="ListParagraph"/>
        <w:numPr>
          <w:ilvl w:val="1"/>
          <w:numId w:val="1"/>
        </w:numPr>
        <w:spacing w:before="120" w:after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bCs/>
          <w:sz w:val="32"/>
          <w:szCs w:val="44"/>
        </w:rPr>
        <w:t>Increased ability to adjust benefits incrementally to prevent funding distress</w:t>
      </w:r>
    </w:p>
    <w:p w:rsidR="0013749C" w:rsidRPr="00114241" w:rsidRDefault="0013749C" w:rsidP="0013749C">
      <w:pPr>
        <w:pStyle w:val="ListParagraph"/>
        <w:numPr>
          <w:ilvl w:val="1"/>
          <w:numId w:val="1"/>
        </w:numPr>
        <w:spacing w:before="120"/>
        <w:ind w:left="1267"/>
        <w:contextualSpacing w:val="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bCs/>
          <w:sz w:val="32"/>
          <w:szCs w:val="44"/>
        </w:rPr>
        <w:t>Benefits may be improved when full funding targets are met</w:t>
      </w:r>
    </w:p>
    <w:p w:rsidR="007F2C8B" w:rsidRPr="00114241" w:rsidRDefault="00114241" w:rsidP="00114241">
      <w:pPr>
        <w:pStyle w:val="ListParagraph"/>
        <w:numPr>
          <w:ilvl w:val="0"/>
          <w:numId w:val="1"/>
        </w:numPr>
        <w:spacing w:before="160"/>
        <w:contextualSpacing w:val="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Concept of w</w:t>
      </w:r>
      <w:r w:rsidR="007F2C8B" w:rsidRPr="00114241">
        <w:rPr>
          <w:rFonts w:ascii="Times New Roman" w:hAnsi="Times New Roman" w:cs="Times New Roman"/>
          <w:sz w:val="32"/>
          <w:szCs w:val="44"/>
        </w:rPr>
        <w:t xml:space="preserve">ithdrawal liability is eliminated </w:t>
      </w:r>
      <w:r>
        <w:rPr>
          <w:rFonts w:ascii="Times New Roman" w:hAnsi="Times New Roman" w:cs="Times New Roman"/>
          <w:sz w:val="32"/>
          <w:szCs w:val="44"/>
        </w:rPr>
        <w:t xml:space="preserve">in new composite plan </w:t>
      </w:r>
      <w:r w:rsidR="007F2C8B" w:rsidRPr="00114241">
        <w:rPr>
          <w:rFonts w:ascii="Times New Roman" w:hAnsi="Times New Roman" w:cs="Times New Roman"/>
          <w:sz w:val="32"/>
          <w:szCs w:val="44"/>
        </w:rPr>
        <w:t>to remove obstacles to attracting and retaining</w:t>
      </w:r>
      <w:r w:rsidR="0013749C">
        <w:rPr>
          <w:rFonts w:ascii="Times New Roman" w:hAnsi="Times New Roman" w:cs="Times New Roman"/>
          <w:sz w:val="32"/>
          <w:szCs w:val="44"/>
        </w:rPr>
        <w:t xml:space="preserve"> employers</w:t>
      </w:r>
    </w:p>
    <w:p w:rsidR="00114241" w:rsidRPr="00114241" w:rsidRDefault="00114241" w:rsidP="00114241">
      <w:pPr>
        <w:pStyle w:val="ListParagraph"/>
        <w:numPr>
          <w:ilvl w:val="0"/>
          <w:numId w:val="1"/>
        </w:numPr>
        <w:spacing w:before="160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All benefits earned under current system (legacy benefits) are unchanged – including PBGC premiums and guarantees, and protections are included to ensure continued funding of legacy benefits</w:t>
      </w:r>
    </w:p>
    <w:p w:rsidR="00114241" w:rsidRPr="00114241" w:rsidRDefault="00114241" w:rsidP="0013749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32"/>
          <w:szCs w:val="44"/>
        </w:rPr>
      </w:pPr>
      <w:r w:rsidRPr="00114241">
        <w:rPr>
          <w:rFonts w:ascii="Times New Roman" w:hAnsi="Times New Roman" w:cs="Times New Roman"/>
          <w:sz w:val="32"/>
          <w:szCs w:val="44"/>
        </w:rPr>
        <w:t>Contributions to legacy plan must be at least the Transition Minimum – equal to cost of benefits earned each year in legacy plan (if any) plus 30-year amortization of any unfunded liabilities</w:t>
      </w:r>
    </w:p>
    <w:p w:rsidR="00114241" w:rsidRDefault="00114241" w:rsidP="0013749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All funding rules that currently apply to multiemployer plans continue to apply to legacy benefit plans, including any contributions required under current or new Funding Improvement or Rehabilitation Plans</w:t>
      </w:r>
    </w:p>
    <w:p w:rsidR="00114241" w:rsidRPr="00114241" w:rsidRDefault="00114241" w:rsidP="0013749C">
      <w:pPr>
        <w:pStyle w:val="ListParagraph"/>
        <w:numPr>
          <w:ilvl w:val="1"/>
          <w:numId w:val="1"/>
        </w:numPr>
        <w:spacing w:before="120"/>
        <w:contextualSpacing w:val="0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Contributions to the legacy plan must be the GREATER of the Transition Minimum and the rate required under current funding rules</w:t>
      </w:r>
    </w:p>
    <w:sectPr w:rsidR="00114241" w:rsidRPr="00114241" w:rsidSect="00E56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477"/>
    <w:multiLevelType w:val="hybridMultilevel"/>
    <w:tmpl w:val="B0CE5CE6"/>
    <w:lvl w:ilvl="0" w:tplc="6688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8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E7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0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80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A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E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6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6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DD7710"/>
    <w:multiLevelType w:val="hybridMultilevel"/>
    <w:tmpl w:val="F1DC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6"/>
    <w:rsid w:val="00114241"/>
    <w:rsid w:val="0013749C"/>
    <w:rsid w:val="001D2E99"/>
    <w:rsid w:val="003C1C54"/>
    <w:rsid w:val="004D3AB3"/>
    <w:rsid w:val="007C6314"/>
    <w:rsid w:val="007F2C8B"/>
    <w:rsid w:val="00A718D0"/>
    <w:rsid w:val="00DC570F"/>
    <w:rsid w:val="00E063C2"/>
    <w:rsid w:val="00E5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AF58-2CA9-4548-BB23-86DF03C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1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Becker</dc:creator>
  <cp:keywords/>
  <dc:description/>
  <cp:lastModifiedBy>Stephanie Sutow</cp:lastModifiedBy>
  <cp:revision>3</cp:revision>
  <dcterms:created xsi:type="dcterms:W3CDTF">2016-06-24T19:36:00Z</dcterms:created>
  <dcterms:modified xsi:type="dcterms:W3CDTF">2016-06-27T15:33:00Z</dcterms:modified>
</cp:coreProperties>
</file>