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C" w:rsidRDefault="00D26A94" w:rsidP="007B155B">
      <w:pPr>
        <w:spacing w:after="120"/>
        <w:rPr>
          <w:sz w:val="24"/>
          <w:szCs w:val="24"/>
          <w:lang w:val="en-CA"/>
        </w:rPr>
      </w:pPr>
      <w:r w:rsidRPr="00AD2154">
        <w:rPr>
          <w:noProof/>
        </w:rPr>
        <w:drawing>
          <wp:inline distT="0" distB="0" distL="0" distR="0" wp14:anchorId="757EB579" wp14:editId="1904E2DD">
            <wp:extent cx="1455343" cy="54820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6106" cy="623828"/>
                    </a:xfrm>
                    <a:prstGeom prst="rect">
                      <a:avLst/>
                    </a:prstGeom>
                    <a:noFill/>
                    <a:ln>
                      <a:noFill/>
                    </a:ln>
                  </pic:spPr>
                </pic:pic>
              </a:graphicData>
            </a:graphic>
          </wp:inline>
        </w:drawing>
      </w:r>
    </w:p>
    <w:p w:rsidR="00BA3FCC" w:rsidRPr="008D09F3" w:rsidRDefault="00626B1E">
      <w:pPr>
        <w:rPr>
          <w:b/>
          <w:sz w:val="24"/>
          <w:szCs w:val="24"/>
          <w:lang w:val="en-CA"/>
        </w:rPr>
      </w:pPr>
      <w:r w:rsidRPr="008D09F3">
        <w:rPr>
          <w:b/>
        </w:rPr>
        <w:t>Labor and Employment Law Program</w:t>
      </w:r>
      <w:r w:rsidR="00137340">
        <w:rPr>
          <w:b/>
        </w:rPr>
        <w:t xml:space="preserve">                   </w:t>
      </w:r>
      <w:r w:rsidR="00137340" w:rsidRPr="00137340">
        <w:rPr>
          <w:b/>
        </w:rPr>
        <w:t>Offered in conjunction with Cornell Law School</w:t>
      </w:r>
    </w:p>
    <w:p w:rsidR="0061445F" w:rsidRDefault="0061445F">
      <w:pPr>
        <w:rPr>
          <w:sz w:val="24"/>
          <w:szCs w:val="24"/>
          <w:lang w:val="en-CA"/>
        </w:rPr>
      </w:pPr>
    </w:p>
    <w:p w:rsidR="00BA3FCC" w:rsidRDefault="00BA3FCC">
      <w:pPr>
        <w:rPr>
          <w:sz w:val="24"/>
          <w:szCs w:val="24"/>
          <w:lang w:val="en-CA"/>
        </w:rPr>
      </w:pPr>
    </w:p>
    <w:p w:rsidR="00C0094F" w:rsidRDefault="00C0094F" w:rsidP="009E0BC4">
      <w:pPr>
        <w:jc w:val="center"/>
        <w:rPr>
          <w:rStyle w:val="Strong"/>
          <w:rFonts w:ascii="Georgia" w:hAnsi="Georgia" w:cstheme="minorHAnsi"/>
          <w:color w:val="B22222"/>
          <w:sz w:val="36"/>
          <w:szCs w:val="36"/>
        </w:rPr>
      </w:pPr>
    </w:p>
    <w:p w:rsidR="00496D97" w:rsidRDefault="00BF1483" w:rsidP="001756F0">
      <w:pPr>
        <w:spacing w:after="120"/>
        <w:jc w:val="center"/>
        <w:rPr>
          <w:rStyle w:val="Strong"/>
          <w:rFonts w:ascii="Arial" w:hAnsi="Arial" w:cs="Arial"/>
          <w:color w:val="B22222"/>
          <w:sz w:val="36"/>
          <w:szCs w:val="36"/>
        </w:rPr>
      </w:pPr>
      <w:r>
        <w:rPr>
          <w:rStyle w:val="Strong"/>
          <w:rFonts w:ascii="Arial" w:hAnsi="Arial" w:cs="Arial"/>
          <w:color w:val="B22222"/>
          <w:sz w:val="36"/>
          <w:szCs w:val="36"/>
        </w:rPr>
        <w:t>Reopening and Older Workers:                  The Intersection of the ADA and the ADEA–     Legal and Practical Considerations</w:t>
      </w:r>
    </w:p>
    <w:p w:rsidR="00001EBD" w:rsidRPr="001756F0" w:rsidRDefault="00BF1483" w:rsidP="001756F0">
      <w:pPr>
        <w:spacing w:after="120"/>
        <w:jc w:val="center"/>
        <w:rPr>
          <w:rStyle w:val="Strong"/>
          <w:rFonts w:ascii="Georgia" w:hAnsi="Georgia" w:cstheme="minorHAnsi"/>
          <w:i/>
          <w:sz w:val="24"/>
          <w:szCs w:val="24"/>
        </w:rPr>
      </w:pPr>
      <w:r>
        <w:rPr>
          <w:rStyle w:val="Strong"/>
          <w:rFonts w:ascii="Georgia" w:hAnsi="Georgia" w:cstheme="minorHAnsi"/>
          <w:i/>
          <w:sz w:val="24"/>
          <w:szCs w:val="24"/>
        </w:rPr>
        <w:t>June 17, 2020</w:t>
      </w:r>
      <w:r>
        <w:rPr>
          <w:rStyle w:val="Strong"/>
          <w:rFonts w:ascii="Georgia" w:hAnsi="Georgia" w:cstheme="minorHAnsi"/>
          <w:i/>
          <w:sz w:val="24"/>
          <w:szCs w:val="24"/>
        </w:rPr>
        <w:br/>
        <w:t>2:00-3:00</w:t>
      </w:r>
    </w:p>
    <w:p w:rsidR="00626B1E" w:rsidRDefault="00626B1E" w:rsidP="00001EBD">
      <w:pPr>
        <w:jc w:val="center"/>
        <w:rPr>
          <w:rStyle w:val="Strong"/>
          <w:rFonts w:ascii="Georgia" w:hAnsi="Georgia" w:cstheme="minorHAnsi"/>
          <w:sz w:val="24"/>
          <w:szCs w:val="24"/>
        </w:rPr>
      </w:pPr>
    </w:p>
    <w:p w:rsidR="00626B1E" w:rsidRPr="00626B1E" w:rsidRDefault="00626B1E" w:rsidP="00001EBD">
      <w:pPr>
        <w:jc w:val="center"/>
        <w:rPr>
          <w:rFonts w:ascii="Georgia" w:hAnsi="Georgia"/>
          <w:b/>
          <w:sz w:val="24"/>
          <w:szCs w:val="24"/>
        </w:rPr>
      </w:pPr>
    </w:p>
    <w:p w:rsidR="001756F0" w:rsidRPr="009B7EB3" w:rsidRDefault="009B7EB3" w:rsidP="001756F0">
      <w:pPr>
        <w:jc w:val="center"/>
        <w:rPr>
          <w:rFonts w:ascii="Georgia" w:hAnsi="Georgia"/>
          <w:b/>
          <w:sz w:val="32"/>
          <w:szCs w:val="32"/>
          <w:lang w:val="en-CA"/>
        </w:rPr>
      </w:pPr>
      <w:r w:rsidRPr="009B7EB3">
        <w:rPr>
          <w:rFonts w:ascii="Georgia" w:hAnsi="Georgia"/>
          <w:b/>
          <w:sz w:val="32"/>
          <w:szCs w:val="32"/>
          <w:lang w:val="en-CA"/>
        </w:rPr>
        <w:t>SPEAKER BIOS</w:t>
      </w:r>
    </w:p>
    <w:p w:rsidR="001756F0" w:rsidRPr="001756F0" w:rsidRDefault="001756F0" w:rsidP="001756F0">
      <w:pPr>
        <w:jc w:val="center"/>
        <w:rPr>
          <w:rFonts w:ascii="Georgia" w:hAnsi="Georgia"/>
          <w:b/>
          <w:sz w:val="36"/>
          <w:szCs w:val="36"/>
          <w:lang w:val="en-CA"/>
        </w:rPr>
      </w:pPr>
    </w:p>
    <w:p w:rsidR="00BA3FCC" w:rsidRPr="001756F0" w:rsidRDefault="00BF1483" w:rsidP="00CE2994">
      <w:pPr>
        <w:spacing w:after="240"/>
        <w:jc w:val="center"/>
        <w:rPr>
          <w:rFonts w:ascii="Georgia" w:hAnsi="Georgia"/>
          <w:b/>
          <w:color w:val="C00000"/>
          <w:sz w:val="28"/>
          <w:szCs w:val="28"/>
          <w:u w:val="single"/>
          <w:lang w:val="en-CA"/>
        </w:rPr>
      </w:pPr>
      <w:r>
        <w:rPr>
          <w:rFonts w:ascii="Georgia" w:hAnsi="Georgia"/>
          <w:b/>
          <w:color w:val="C00000"/>
          <w:sz w:val="28"/>
          <w:szCs w:val="28"/>
          <w:u w:val="single"/>
          <w:lang w:val="en-CA"/>
        </w:rPr>
        <w:t xml:space="preserve">Chai R. </w:t>
      </w:r>
      <w:proofErr w:type="spellStart"/>
      <w:r>
        <w:rPr>
          <w:rFonts w:ascii="Georgia" w:hAnsi="Georgia"/>
          <w:b/>
          <w:color w:val="C00000"/>
          <w:sz w:val="28"/>
          <w:szCs w:val="28"/>
          <w:u w:val="single"/>
          <w:lang w:val="en-CA"/>
        </w:rPr>
        <w:t>Feldblum</w:t>
      </w:r>
      <w:proofErr w:type="spellEnd"/>
    </w:p>
    <w:p w:rsidR="00BF1483" w:rsidRDefault="00BF1483" w:rsidP="00BF1483">
      <w:pPr>
        <w:spacing w:after="120" w:line="276" w:lineRule="auto"/>
        <w:textAlignment w:val="baseline"/>
        <w:rPr>
          <w:rFonts w:ascii="Georgia" w:eastAsia="Times New Roman" w:hAnsi="Georgia"/>
          <w:sz w:val="24"/>
          <w:szCs w:val="24"/>
        </w:rPr>
      </w:pPr>
      <w:r>
        <w:rPr>
          <w:rFonts w:ascii="Georgia" w:eastAsia="Times New Roman" w:hAnsi="Georgia"/>
          <w:b/>
          <w:sz w:val="24"/>
          <w:szCs w:val="24"/>
        </w:rPr>
        <w:t xml:space="preserve">Chai </w:t>
      </w:r>
      <w:proofErr w:type="spellStart"/>
      <w:r w:rsidRPr="00050F10">
        <w:rPr>
          <w:rFonts w:ascii="Georgia" w:eastAsia="Times New Roman" w:hAnsi="Georgia"/>
          <w:b/>
          <w:sz w:val="24"/>
          <w:szCs w:val="24"/>
        </w:rPr>
        <w:t>Feldblum</w:t>
      </w:r>
      <w:proofErr w:type="spellEnd"/>
      <w:r>
        <w:rPr>
          <w:rFonts w:ascii="Georgia" w:eastAsia="Times New Roman" w:hAnsi="Georgia"/>
          <w:sz w:val="24"/>
          <w:szCs w:val="24"/>
        </w:rPr>
        <w:t xml:space="preserve">, Partner, Morgan Lewis &amp; </w:t>
      </w:r>
      <w:proofErr w:type="spellStart"/>
      <w:r>
        <w:rPr>
          <w:rFonts w:ascii="Georgia" w:eastAsia="Times New Roman" w:hAnsi="Georgia"/>
          <w:sz w:val="24"/>
          <w:szCs w:val="24"/>
        </w:rPr>
        <w:t>Bockius</w:t>
      </w:r>
      <w:proofErr w:type="spellEnd"/>
      <w:r>
        <w:rPr>
          <w:rFonts w:ascii="Georgia" w:eastAsia="Times New Roman" w:hAnsi="Georgia"/>
          <w:sz w:val="24"/>
          <w:szCs w:val="24"/>
        </w:rPr>
        <w:t xml:space="preserve"> LLP, </w:t>
      </w:r>
      <w:r w:rsidRPr="00050F10">
        <w:rPr>
          <w:rFonts w:ascii="Georgia" w:eastAsia="Times New Roman" w:hAnsi="Georgia"/>
          <w:sz w:val="24"/>
          <w:szCs w:val="24"/>
        </w:rPr>
        <w:t xml:space="preserve">helps companies and organizations create safe, respectful, diverse, and inclusive workplaces. Chai served as a commissioner of the Equal Employment Opportunity Commission (EEOC) from 2010 to 2019. As a director of Workplace Culture Consulting at Morgan Lewis, Chai </w:t>
      </w:r>
      <w:proofErr w:type="gramStart"/>
      <w:r w:rsidRPr="00050F10">
        <w:rPr>
          <w:rFonts w:ascii="Georgia" w:eastAsia="Times New Roman" w:hAnsi="Georgia"/>
          <w:sz w:val="24"/>
          <w:szCs w:val="24"/>
        </w:rPr>
        <w:t>helps</w:t>
      </w:r>
      <w:proofErr w:type="gramEnd"/>
      <w:r w:rsidRPr="00050F10">
        <w:rPr>
          <w:rFonts w:ascii="Georgia" w:eastAsia="Times New Roman" w:hAnsi="Georgia"/>
          <w:sz w:val="24"/>
          <w:szCs w:val="24"/>
        </w:rPr>
        <w:t xml:space="preserve"> employers implement preventive strategies to eliminate harassment and enhance workplace productivity. Chai’s policymaking background and insights on the EEOC’s enforcement processes inform her counseling of employers on compliance with employment anti-discrimination laws and her investigations of complaints of harassment and discrimination.</w:t>
      </w:r>
    </w:p>
    <w:p w:rsidR="00BF1483" w:rsidRPr="00632016" w:rsidRDefault="00BF1483" w:rsidP="00BF1483">
      <w:pPr>
        <w:spacing w:after="120" w:line="276" w:lineRule="auto"/>
        <w:textAlignment w:val="baseline"/>
        <w:rPr>
          <w:rFonts w:ascii="Georgia" w:eastAsia="Times New Roman" w:hAnsi="Georgia"/>
          <w:sz w:val="24"/>
          <w:szCs w:val="24"/>
        </w:rPr>
      </w:pPr>
      <w:r w:rsidRPr="00632016">
        <w:rPr>
          <w:rFonts w:ascii="Georgia" w:hAnsi="Georgia" w:cs="Arial"/>
          <w:color w:val="414042"/>
          <w:sz w:val="24"/>
          <w:szCs w:val="24"/>
        </w:rPr>
        <w:t xml:space="preserve">While at the EEOC, Chai co-led a Select Task Force on the Study of Harassment in the Workplace and coauthored a </w:t>
      </w:r>
      <w:proofErr w:type="gramStart"/>
      <w:r w:rsidRPr="00632016">
        <w:rPr>
          <w:rFonts w:ascii="Georgia" w:hAnsi="Georgia" w:cs="Arial"/>
          <w:color w:val="414042"/>
          <w:sz w:val="24"/>
          <w:szCs w:val="24"/>
        </w:rPr>
        <w:t>widely-recognized</w:t>
      </w:r>
      <w:proofErr w:type="gramEnd"/>
      <w:r w:rsidRPr="00632016">
        <w:rPr>
          <w:rFonts w:ascii="Georgia" w:hAnsi="Georgia" w:cs="Arial"/>
          <w:color w:val="414042"/>
          <w:sz w:val="24"/>
          <w:szCs w:val="24"/>
        </w:rPr>
        <w:t xml:space="preserve"> report on harassment prevention. Chai now </w:t>
      </w:r>
      <w:proofErr w:type="gramStart"/>
      <w:r w:rsidRPr="00632016">
        <w:rPr>
          <w:rFonts w:ascii="Georgia" w:hAnsi="Georgia" w:cs="Arial"/>
          <w:color w:val="414042"/>
          <w:sz w:val="24"/>
          <w:szCs w:val="24"/>
        </w:rPr>
        <w:t>partners</w:t>
      </w:r>
      <w:proofErr w:type="gramEnd"/>
      <w:r w:rsidRPr="00632016">
        <w:rPr>
          <w:rFonts w:ascii="Georgia" w:hAnsi="Georgia" w:cs="Arial"/>
          <w:color w:val="414042"/>
          <w:sz w:val="24"/>
          <w:szCs w:val="24"/>
        </w:rPr>
        <w:t xml:space="preserve"> with employers to conduct workplace cultural assessments, using qualitative and quantitative tools, to determine issues the employer may wish to address. </w:t>
      </w:r>
      <w:proofErr w:type="gramStart"/>
      <w:r w:rsidRPr="00632016">
        <w:rPr>
          <w:rFonts w:ascii="Georgia" w:hAnsi="Georgia" w:cs="Arial"/>
          <w:color w:val="414042"/>
          <w:sz w:val="24"/>
          <w:szCs w:val="24"/>
        </w:rPr>
        <w:t>Chai also helped develop a new Morgan Lewis training on Creating Respectful Workplaces and delivers such training.</w:t>
      </w:r>
      <w:proofErr w:type="gramEnd"/>
    </w:p>
    <w:p w:rsidR="00BF1483" w:rsidRDefault="00BF1483" w:rsidP="00BF1483">
      <w:pPr>
        <w:spacing w:after="120" w:line="276" w:lineRule="auto"/>
        <w:textAlignment w:val="baseline"/>
        <w:rPr>
          <w:rFonts w:ascii="Georgia" w:eastAsia="Times New Roman" w:hAnsi="Georgia"/>
          <w:sz w:val="24"/>
          <w:szCs w:val="24"/>
        </w:rPr>
      </w:pPr>
    </w:p>
    <w:p w:rsidR="00F6103E" w:rsidRPr="001756F0" w:rsidRDefault="00BF1483" w:rsidP="007C62E1">
      <w:pPr>
        <w:pStyle w:val="NormalWeb"/>
        <w:shd w:val="clear" w:color="auto" w:fill="FFFFFF"/>
        <w:spacing w:before="0" w:beforeAutospacing="0" w:after="240" w:afterAutospacing="0" w:line="276" w:lineRule="auto"/>
        <w:jc w:val="center"/>
        <w:rPr>
          <w:rFonts w:ascii="Georgia" w:hAnsi="Georgia"/>
          <w:b/>
          <w:color w:val="C00000"/>
          <w:sz w:val="28"/>
          <w:szCs w:val="28"/>
          <w:u w:val="single"/>
          <w:lang w:val="en-CA"/>
        </w:rPr>
      </w:pPr>
      <w:r>
        <w:rPr>
          <w:rFonts w:ascii="Georgia" w:hAnsi="Georgia"/>
          <w:b/>
          <w:color w:val="C00000"/>
          <w:sz w:val="28"/>
          <w:szCs w:val="28"/>
          <w:u w:val="single"/>
          <w:lang w:val="en-CA"/>
        </w:rPr>
        <w:t>Laurie A. McCann</w:t>
      </w:r>
    </w:p>
    <w:p w:rsidR="00BF1483" w:rsidRPr="00AC1AD2" w:rsidRDefault="00BF1483" w:rsidP="00BF1483">
      <w:pPr>
        <w:spacing w:line="276" w:lineRule="auto"/>
        <w:rPr>
          <w:rFonts w:ascii="Georgia" w:hAnsi="Georgia"/>
          <w:sz w:val="24"/>
          <w:szCs w:val="24"/>
        </w:rPr>
      </w:pPr>
      <w:r w:rsidRPr="00BF1483">
        <w:rPr>
          <w:rFonts w:ascii="Georgia" w:hAnsi="Georgia"/>
          <w:b/>
          <w:sz w:val="24"/>
          <w:szCs w:val="24"/>
        </w:rPr>
        <w:t>Laurie McCann</w:t>
      </w:r>
      <w:r w:rsidRPr="00AC1AD2">
        <w:rPr>
          <w:rFonts w:ascii="Georgia" w:hAnsi="Georgia"/>
          <w:sz w:val="24"/>
          <w:szCs w:val="24"/>
        </w:rPr>
        <w:t xml:space="preserve"> is a Senior Attorney with AARP Foundation Litigation. Her principal responsibilities include litigation and amicus curiae participation for AARP on a broad </w:t>
      </w:r>
      <w:r w:rsidRPr="00AC1AD2">
        <w:rPr>
          <w:rFonts w:ascii="Georgia" w:hAnsi="Georgia"/>
          <w:sz w:val="24"/>
          <w:szCs w:val="24"/>
        </w:rPr>
        <w:lastRenderedPageBreak/>
        <w:t xml:space="preserve">range of age discrimination and other employment issues. McCann has prepared numerous amicus curiae briefs on behalf of the AARP Foundation and AARP in cases before the United States Supreme Court, and federal and state courts. Her publications include, Age Discrimination in Employment in </w:t>
      </w:r>
      <w:r w:rsidRPr="00AC1AD2">
        <w:rPr>
          <w:rFonts w:ascii="Georgia" w:hAnsi="Georgia"/>
          <w:smallCaps/>
          <w:sz w:val="24"/>
          <w:szCs w:val="24"/>
        </w:rPr>
        <w:t>The New Politics of Old Age Policy</w:t>
      </w:r>
      <w:r w:rsidRPr="00AC1AD2">
        <w:rPr>
          <w:rFonts w:ascii="Georgia" w:hAnsi="Georgia"/>
          <w:sz w:val="24"/>
          <w:szCs w:val="24"/>
        </w:rPr>
        <w:t xml:space="preserve"> (</w:t>
      </w:r>
      <w:proofErr w:type="gramStart"/>
      <w:r w:rsidRPr="00AC1AD2">
        <w:rPr>
          <w:rFonts w:ascii="Georgia" w:hAnsi="Georgia"/>
          <w:sz w:val="24"/>
          <w:szCs w:val="24"/>
        </w:rPr>
        <w:t>2</w:t>
      </w:r>
      <w:r w:rsidRPr="00AC1AD2">
        <w:rPr>
          <w:rFonts w:ascii="Georgia" w:hAnsi="Georgia"/>
          <w:sz w:val="24"/>
          <w:szCs w:val="24"/>
          <w:vertAlign w:val="superscript"/>
        </w:rPr>
        <w:t>nd</w:t>
      </w:r>
      <w:proofErr w:type="gramEnd"/>
      <w:r w:rsidRPr="00AC1AD2">
        <w:rPr>
          <w:rFonts w:ascii="Georgia" w:hAnsi="Georgia"/>
          <w:sz w:val="24"/>
          <w:szCs w:val="24"/>
        </w:rPr>
        <w:t xml:space="preserve"> Edition) (with Cathy </w:t>
      </w:r>
      <w:proofErr w:type="spellStart"/>
      <w:r w:rsidRPr="00AC1AD2">
        <w:rPr>
          <w:rFonts w:ascii="Georgia" w:hAnsi="Georgia"/>
          <w:sz w:val="24"/>
          <w:szCs w:val="24"/>
        </w:rPr>
        <w:t>Ventrell-Monsees</w:t>
      </w:r>
      <w:proofErr w:type="spellEnd"/>
      <w:r w:rsidRPr="00AC1AD2">
        <w:rPr>
          <w:rFonts w:ascii="Georgia" w:hAnsi="Georgia"/>
          <w:sz w:val="24"/>
          <w:szCs w:val="24"/>
        </w:rPr>
        <w:t xml:space="preserve">) and </w:t>
      </w:r>
      <w:r w:rsidRPr="00AC1AD2">
        <w:rPr>
          <w:rFonts w:ascii="Georgia" w:hAnsi="Georgia"/>
          <w:i/>
          <w:iCs/>
          <w:sz w:val="24"/>
          <w:szCs w:val="24"/>
        </w:rPr>
        <w:t>The ADEA and the Eleventh Amendment</w:t>
      </w:r>
      <w:r w:rsidRPr="00AC1AD2">
        <w:rPr>
          <w:rFonts w:ascii="Georgia" w:hAnsi="Georgia"/>
          <w:sz w:val="24"/>
          <w:szCs w:val="24"/>
        </w:rPr>
        <w:t xml:space="preserve">, 2 </w:t>
      </w:r>
      <w:r w:rsidRPr="00AC1AD2">
        <w:rPr>
          <w:rFonts w:ascii="Georgia" w:hAnsi="Georgia"/>
          <w:smallCaps/>
          <w:sz w:val="24"/>
          <w:szCs w:val="24"/>
        </w:rPr>
        <w:t>Employee Rights and Employment Policy Journal 241 (1998)</w:t>
      </w:r>
      <w:r w:rsidRPr="00AC1AD2">
        <w:rPr>
          <w:rFonts w:ascii="Georgia" w:hAnsi="Georgia"/>
          <w:i/>
          <w:iCs/>
          <w:sz w:val="24"/>
          <w:szCs w:val="24"/>
        </w:rPr>
        <w:t>.</w:t>
      </w:r>
      <w:r w:rsidRPr="00AC1AD2">
        <w:rPr>
          <w:rFonts w:ascii="Georgia" w:hAnsi="Georgia"/>
          <w:iCs/>
          <w:sz w:val="24"/>
          <w:szCs w:val="24"/>
        </w:rPr>
        <w:t xml:space="preserve"> </w:t>
      </w:r>
      <w:r w:rsidRPr="00AC1AD2">
        <w:rPr>
          <w:rFonts w:ascii="Georgia" w:hAnsi="Georgia"/>
          <w:sz w:val="24"/>
          <w:szCs w:val="24"/>
        </w:rPr>
        <w:t>McCann is a noted sp</w:t>
      </w:r>
      <w:r>
        <w:rPr>
          <w:rFonts w:ascii="Georgia" w:hAnsi="Georgia"/>
          <w:sz w:val="24"/>
          <w:szCs w:val="24"/>
        </w:rPr>
        <w:t xml:space="preserve">eaker on the aging work force. </w:t>
      </w:r>
      <w:bookmarkStart w:id="0" w:name="_GoBack"/>
      <w:bookmarkEnd w:id="0"/>
      <w:r w:rsidRPr="00AC1AD2">
        <w:rPr>
          <w:rFonts w:ascii="Georgia" w:hAnsi="Georgia"/>
          <w:sz w:val="24"/>
          <w:szCs w:val="24"/>
        </w:rPr>
        <w:t xml:space="preserve">She has lectured on age discrimination, downsizing, and employee benefit issues at conferences sponsored by the American Bar Association, National Employment Lawyers Association, the Pacific Coast Labor &amp; Employment Law Conference and the D.C. Bar Association. She has testified on several occasions to the U.S. Equal Employment Opportunity Commission (EEOC), the Senate Special Committee on Aging and the House Committee on Education and Labor. </w:t>
      </w:r>
    </w:p>
    <w:p w:rsidR="003C73BC" w:rsidRPr="007C62E1" w:rsidRDefault="003C73BC" w:rsidP="00BF1483">
      <w:pPr>
        <w:spacing w:before="100" w:beforeAutospacing="1" w:after="120" w:line="276" w:lineRule="auto"/>
        <w:rPr>
          <w:rFonts w:ascii="Georgia" w:hAnsi="Georgia" w:cs="Arial"/>
          <w:color w:val="222222"/>
          <w:sz w:val="24"/>
          <w:szCs w:val="24"/>
        </w:rPr>
      </w:pPr>
    </w:p>
    <w:sectPr w:rsidR="003C73BC" w:rsidRPr="007C62E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0277"/>
    <w:multiLevelType w:val="multilevel"/>
    <w:tmpl w:val="A02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1740B"/>
    <w:multiLevelType w:val="multilevel"/>
    <w:tmpl w:val="209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01EBD"/>
    <w:rsid w:val="000140E9"/>
    <w:rsid w:val="00037A0E"/>
    <w:rsid w:val="00053E9D"/>
    <w:rsid w:val="000546A0"/>
    <w:rsid w:val="0006691E"/>
    <w:rsid w:val="000852C9"/>
    <w:rsid w:val="000B232B"/>
    <w:rsid w:val="000C3E66"/>
    <w:rsid w:val="000D1FB1"/>
    <w:rsid w:val="000E57E6"/>
    <w:rsid w:val="0012049B"/>
    <w:rsid w:val="00122118"/>
    <w:rsid w:val="00127C4F"/>
    <w:rsid w:val="00137340"/>
    <w:rsid w:val="00137445"/>
    <w:rsid w:val="001419EA"/>
    <w:rsid w:val="001428A3"/>
    <w:rsid w:val="0014386A"/>
    <w:rsid w:val="00161202"/>
    <w:rsid w:val="0016130D"/>
    <w:rsid w:val="00172B07"/>
    <w:rsid w:val="001736EB"/>
    <w:rsid w:val="001756F0"/>
    <w:rsid w:val="001A4E7B"/>
    <w:rsid w:val="001C0AEE"/>
    <w:rsid w:val="0021530D"/>
    <w:rsid w:val="0021775C"/>
    <w:rsid w:val="00241F58"/>
    <w:rsid w:val="002E03A2"/>
    <w:rsid w:val="002F0C0F"/>
    <w:rsid w:val="00302548"/>
    <w:rsid w:val="00307D4E"/>
    <w:rsid w:val="00322266"/>
    <w:rsid w:val="003677B0"/>
    <w:rsid w:val="0037645C"/>
    <w:rsid w:val="0038645C"/>
    <w:rsid w:val="00391F83"/>
    <w:rsid w:val="003936DF"/>
    <w:rsid w:val="003A065A"/>
    <w:rsid w:val="003C73BC"/>
    <w:rsid w:val="003D4F23"/>
    <w:rsid w:val="003E3D8C"/>
    <w:rsid w:val="003E47BF"/>
    <w:rsid w:val="003E4E46"/>
    <w:rsid w:val="003E5C18"/>
    <w:rsid w:val="003F3B5A"/>
    <w:rsid w:val="00425F56"/>
    <w:rsid w:val="00437371"/>
    <w:rsid w:val="004443C1"/>
    <w:rsid w:val="004571D7"/>
    <w:rsid w:val="00496D97"/>
    <w:rsid w:val="004A09C3"/>
    <w:rsid w:val="004C0BF2"/>
    <w:rsid w:val="004F03CB"/>
    <w:rsid w:val="005105C0"/>
    <w:rsid w:val="00542B08"/>
    <w:rsid w:val="00557A44"/>
    <w:rsid w:val="005651BC"/>
    <w:rsid w:val="0057407B"/>
    <w:rsid w:val="005B5F36"/>
    <w:rsid w:val="005C12EC"/>
    <w:rsid w:val="005D5512"/>
    <w:rsid w:val="005E7DE2"/>
    <w:rsid w:val="005F5971"/>
    <w:rsid w:val="00612EAB"/>
    <w:rsid w:val="0061445F"/>
    <w:rsid w:val="00626B1E"/>
    <w:rsid w:val="006370C9"/>
    <w:rsid w:val="00656529"/>
    <w:rsid w:val="00663B6B"/>
    <w:rsid w:val="006672F1"/>
    <w:rsid w:val="00683DD4"/>
    <w:rsid w:val="006960BC"/>
    <w:rsid w:val="006A5AA7"/>
    <w:rsid w:val="006E33BE"/>
    <w:rsid w:val="006F2503"/>
    <w:rsid w:val="006F6E45"/>
    <w:rsid w:val="007030BF"/>
    <w:rsid w:val="007142FD"/>
    <w:rsid w:val="00721348"/>
    <w:rsid w:val="00727047"/>
    <w:rsid w:val="00731294"/>
    <w:rsid w:val="00733BBD"/>
    <w:rsid w:val="00763D46"/>
    <w:rsid w:val="00771170"/>
    <w:rsid w:val="007B155B"/>
    <w:rsid w:val="007B6D35"/>
    <w:rsid w:val="007C62E1"/>
    <w:rsid w:val="007D1BCF"/>
    <w:rsid w:val="007D4206"/>
    <w:rsid w:val="007D5074"/>
    <w:rsid w:val="00803272"/>
    <w:rsid w:val="0085353F"/>
    <w:rsid w:val="00865846"/>
    <w:rsid w:val="00867DBE"/>
    <w:rsid w:val="0089431D"/>
    <w:rsid w:val="008A0666"/>
    <w:rsid w:val="008C3B96"/>
    <w:rsid w:val="008D09F3"/>
    <w:rsid w:val="008E75A9"/>
    <w:rsid w:val="008F057F"/>
    <w:rsid w:val="008F6231"/>
    <w:rsid w:val="009B7EB3"/>
    <w:rsid w:val="009C1D6D"/>
    <w:rsid w:val="009D1C08"/>
    <w:rsid w:val="009D2DA3"/>
    <w:rsid w:val="009D3EEE"/>
    <w:rsid w:val="009D607E"/>
    <w:rsid w:val="009E0BC4"/>
    <w:rsid w:val="009F4A48"/>
    <w:rsid w:val="00A34326"/>
    <w:rsid w:val="00A376F5"/>
    <w:rsid w:val="00A43DB7"/>
    <w:rsid w:val="00A87109"/>
    <w:rsid w:val="00A93758"/>
    <w:rsid w:val="00AD435F"/>
    <w:rsid w:val="00B55B02"/>
    <w:rsid w:val="00B671B7"/>
    <w:rsid w:val="00B73CB9"/>
    <w:rsid w:val="00B9342C"/>
    <w:rsid w:val="00B93BC7"/>
    <w:rsid w:val="00BA3920"/>
    <w:rsid w:val="00BA3FCC"/>
    <w:rsid w:val="00BB0B23"/>
    <w:rsid w:val="00BD6E20"/>
    <w:rsid w:val="00BF1483"/>
    <w:rsid w:val="00C0094F"/>
    <w:rsid w:val="00C021E1"/>
    <w:rsid w:val="00C06474"/>
    <w:rsid w:val="00C24FB2"/>
    <w:rsid w:val="00C37CD3"/>
    <w:rsid w:val="00C47CD7"/>
    <w:rsid w:val="00C55180"/>
    <w:rsid w:val="00C80EDF"/>
    <w:rsid w:val="00CD6CEF"/>
    <w:rsid w:val="00CE2994"/>
    <w:rsid w:val="00CF641E"/>
    <w:rsid w:val="00D00D42"/>
    <w:rsid w:val="00D26A94"/>
    <w:rsid w:val="00D364CC"/>
    <w:rsid w:val="00D37EEF"/>
    <w:rsid w:val="00D632EB"/>
    <w:rsid w:val="00D85B94"/>
    <w:rsid w:val="00DB4DA1"/>
    <w:rsid w:val="00DE7F02"/>
    <w:rsid w:val="00E04100"/>
    <w:rsid w:val="00E163BD"/>
    <w:rsid w:val="00E316F5"/>
    <w:rsid w:val="00E45DF4"/>
    <w:rsid w:val="00E563C6"/>
    <w:rsid w:val="00E6249C"/>
    <w:rsid w:val="00E629F4"/>
    <w:rsid w:val="00E67582"/>
    <w:rsid w:val="00E8504F"/>
    <w:rsid w:val="00E926B9"/>
    <w:rsid w:val="00E961C5"/>
    <w:rsid w:val="00EA08C4"/>
    <w:rsid w:val="00EB0A5A"/>
    <w:rsid w:val="00EB3A74"/>
    <w:rsid w:val="00EE1A86"/>
    <w:rsid w:val="00F07372"/>
    <w:rsid w:val="00F17D10"/>
    <w:rsid w:val="00F228CF"/>
    <w:rsid w:val="00F2386B"/>
    <w:rsid w:val="00F316EC"/>
    <w:rsid w:val="00F42FB1"/>
    <w:rsid w:val="00F44761"/>
    <w:rsid w:val="00F54658"/>
    <w:rsid w:val="00F60350"/>
    <w:rsid w:val="00F6103E"/>
    <w:rsid w:val="00F677E1"/>
    <w:rsid w:val="00F823B8"/>
    <w:rsid w:val="00FB3825"/>
    <w:rsid w:val="00FB7248"/>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81FD1"/>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2291">
      <w:bodyDiv w:val="1"/>
      <w:marLeft w:val="0"/>
      <w:marRight w:val="0"/>
      <w:marTop w:val="0"/>
      <w:marBottom w:val="0"/>
      <w:divBdr>
        <w:top w:val="none" w:sz="0" w:space="0" w:color="auto"/>
        <w:left w:val="none" w:sz="0" w:space="0" w:color="auto"/>
        <w:bottom w:val="none" w:sz="0" w:space="0" w:color="auto"/>
        <w:right w:val="none" w:sz="0" w:space="0" w:color="auto"/>
      </w:divBdr>
    </w:div>
    <w:div w:id="474445937">
      <w:bodyDiv w:val="1"/>
      <w:marLeft w:val="0"/>
      <w:marRight w:val="0"/>
      <w:marTop w:val="0"/>
      <w:marBottom w:val="0"/>
      <w:divBdr>
        <w:top w:val="none" w:sz="0" w:space="0" w:color="auto"/>
        <w:left w:val="none" w:sz="0" w:space="0" w:color="auto"/>
        <w:bottom w:val="none" w:sz="0" w:space="0" w:color="auto"/>
        <w:right w:val="none" w:sz="0" w:space="0" w:color="auto"/>
      </w:divBdr>
    </w:div>
    <w:div w:id="567620159">
      <w:bodyDiv w:val="1"/>
      <w:marLeft w:val="0"/>
      <w:marRight w:val="0"/>
      <w:marTop w:val="0"/>
      <w:marBottom w:val="0"/>
      <w:divBdr>
        <w:top w:val="none" w:sz="0" w:space="0" w:color="auto"/>
        <w:left w:val="none" w:sz="0" w:space="0" w:color="auto"/>
        <w:bottom w:val="none" w:sz="0" w:space="0" w:color="auto"/>
        <w:right w:val="none" w:sz="0" w:space="0" w:color="auto"/>
      </w:divBdr>
    </w:div>
    <w:div w:id="1309940753">
      <w:bodyDiv w:val="1"/>
      <w:marLeft w:val="0"/>
      <w:marRight w:val="0"/>
      <w:marTop w:val="0"/>
      <w:marBottom w:val="0"/>
      <w:divBdr>
        <w:top w:val="none" w:sz="0" w:space="0" w:color="auto"/>
        <w:left w:val="none" w:sz="0" w:space="0" w:color="auto"/>
        <w:bottom w:val="none" w:sz="0" w:space="0" w:color="auto"/>
        <w:right w:val="none" w:sz="0" w:space="0" w:color="auto"/>
      </w:divBdr>
    </w:div>
    <w:div w:id="13469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27D4-ED7B-44C1-98DF-4DF92C1B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3</cp:revision>
  <cp:lastPrinted>2016-02-10T19:08:00Z</cp:lastPrinted>
  <dcterms:created xsi:type="dcterms:W3CDTF">2020-06-12T19:25:00Z</dcterms:created>
  <dcterms:modified xsi:type="dcterms:W3CDTF">2020-06-12T19:39:00Z</dcterms:modified>
</cp:coreProperties>
</file>